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A91" w:rsidRDefault="00810A91" w:rsidP="00810A91">
      <w:pPr>
        <w:jc w:val="right"/>
      </w:pPr>
      <w:r>
        <w:t>Приложение 1 к документации о закупке</w:t>
      </w:r>
    </w:p>
    <w:p w:rsidR="003A7BC9" w:rsidRPr="003A7BC9" w:rsidRDefault="003A7BC9" w:rsidP="003A7BC9">
      <w:pPr>
        <w:spacing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bookmarkStart w:id="0" w:name="_GoBack"/>
      <w:bookmarkEnd w:id="0"/>
      <w:r w:rsidRPr="003A7BC9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3A7BC9" w:rsidRPr="003A7BC9" w:rsidRDefault="003A7BC9" w:rsidP="003A7BC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</w:rPr>
        <w:t>На оказание услуг по доработке биллинговой системы 1С:Энергобиллинг</w:t>
      </w:r>
      <w:r w:rsidRPr="003A7BC9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A7BC9">
        <w:rPr>
          <w:rFonts w:ascii="Tahoma" w:eastAsia="Times New Roman" w:hAnsi="Tahoma" w:cs="Tahoma"/>
          <w:sz w:val="20"/>
          <w:szCs w:val="20"/>
        </w:rPr>
        <w:t>для</w:t>
      </w:r>
      <w:r w:rsidRPr="003A7BC9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A7BC9">
        <w:rPr>
          <w:rFonts w:ascii="Tahoma" w:eastAsia="Times New Roman" w:hAnsi="Tahoma" w:cs="Tahoma"/>
          <w:sz w:val="20"/>
          <w:szCs w:val="20"/>
        </w:rPr>
        <w:t>нужд</w:t>
      </w:r>
      <w:r w:rsidRPr="003A7BC9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A7BC9">
        <w:rPr>
          <w:rFonts w:ascii="Tahoma" w:eastAsia="Times New Roman" w:hAnsi="Tahoma" w:cs="Tahoma"/>
          <w:sz w:val="20"/>
          <w:szCs w:val="20"/>
        </w:rPr>
        <w:t>АО «ЭнергосбыТ Плюс</w:t>
      </w:r>
      <w:r w:rsidRPr="003A7BC9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p w:rsidR="003A7BC9" w:rsidRPr="003A7BC9" w:rsidRDefault="003A7BC9" w:rsidP="003A7BC9">
      <w:pPr>
        <w:numPr>
          <w:ilvl w:val="0"/>
          <w:numId w:val="10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положения</w:t>
      </w:r>
    </w:p>
    <w:p w:rsidR="003A7BC9" w:rsidRPr="003A7BC9" w:rsidRDefault="003A7BC9" w:rsidP="003A7BC9">
      <w:pPr>
        <w:numPr>
          <w:ilvl w:val="1"/>
          <w:numId w:val="14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Полное наименование услуг: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1С:Энергобиллинг.</w:t>
      </w:r>
    </w:p>
    <w:p w:rsidR="003A7BC9" w:rsidRPr="003A7BC9" w:rsidRDefault="003A7BC9" w:rsidP="003A7BC9">
      <w:pPr>
        <w:numPr>
          <w:ilvl w:val="1"/>
          <w:numId w:val="14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Назначение технического Задания: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Настоящее техническое Задание устанавливает требования по доработке (модификации) существующей функциональности биллингового информационно-программного комплекса, в целях развития автоматизации бизнес-процессов тепло-сбытовой деятельности, прочих ЖКХ услуг в АО «ЭнергосбыТ Плюс».</w:t>
      </w:r>
    </w:p>
    <w:p w:rsidR="003A7BC9" w:rsidRPr="003A7BC9" w:rsidRDefault="003A7BC9" w:rsidP="003A7BC9">
      <w:pPr>
        <w:numPr>
          <w:ilvl w:val="1"/>
          <w:numId w:val="14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Принятые сокращения: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ТЗ – настоящее Техническое задание.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ТП – технический проект на модификацию.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ИПК – информационно-программный комплекс.</w:t>
      </w:r>
    </w:p>
    <w:p w:rsidR="003A7BC9" w:rsidRPr="003A7BC9" w:rsidRDefault="003A7BC9" w:rsidP="003A7BC9">
      <w:pPr>
        <w:numPr>
          <w:ilvl w:val="0"/>
          <w:numId w:val="10"/>
        </w:numPr>
        <w:spacing w:before="120" w:after="0" w:line="240" w:lineRule="auto"/>
        <w:ind w:left="397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Сроки оказания услуг</w:t>
      </w:r>
    </w:p>
    <w:p w:rsidR="003A7BC9" w:rsidRPr="003A7BC9" w:rsidRDefault="003A7BC9" w:rsidP="003A7BC9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Общий срок оказания Услуг с даты подписания договора Сторонами по «31» декабря 2023г.</w:t>
      </w:r>
    </w:p>
    <w:p w:rsidR="003A7BC9" w:rsidRPr="003A7BC9" w:rsidRDefault="003A7BC9" w:rsidP="003A7BC9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Сроки оказания Услуг по заявкам, оформляемым по формам Приложения №1 к Техническому заданию: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Начало: с даты подписания заявки Сторонами.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Окончание: дата, указанная в заявке.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Сроки оказания услуг по Заявкам должны соответствовать условиям, изложенным в п.4.2. Договора.</w:t>
      </w:r>
    </w:p>
    <w:p w:rsidR="003A7BC9" w:rsidRPr="003A7BC9" w:rsidRDefault="003A7BC9" w:rsidP="003A7BC9">
      <w:pPr>
        <w:numPr>
          <w:ilvl w:val="0"/>
          <w:numId w:val="18"/>
        </w:numPr>
        <w:spacing w:before="120"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Перечень, объем и состав оказываемых услуг</w:t>
      </w:r>
    </w:p>
    <w:p w:rsidR="003A7BC9" w:rsidRPr="003A7BC9" w:rsidRDefault="003A7BC9" w:rsidP="003A7BC9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Перечень оказываемых услуг: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оказывает следующие услуги:</w:t>
      </w:r>
    </w:p>
    <w:p w:rsidR="003A7BC9" w:rsidRPr="003A7BC9" w:rsidRDefault="003A7BC9" w:rsidP="003A7BC9">
      <w:pPr>
        <w:numPr>
          <w:ilvl w:val="0"/>
          <w:numId w:val="19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корпоративной информационной системы 1С:Энергобиллинг в соответствии с Фиксированным перечнем Услуг, указанных в таблице 1.</w:t>
      </w:r>
    </w:p>
    <w:p w:rsidR="003A7BC9" w:rsidRPr="003A7BC9" w:rsidRDefault="003A7BC9" w:rsidP="003A7BC9">
      <w:pPr>
        <w:widowControl w:val="0"/>
        <w:numPr>
          <w:ilvl w:val="0"/>
          <w:numId w:val="19"/>
        </w:numPr>
        <w:spacing w:before="120" w:after="0" w:line="240" w:lineRule="auto"/>
        <w:ind w:left="1021" w:hanging="17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Доработка функционала корпоративной информационной системы 1С:Энергобиллинг сверх Фиксированного перечня Услуг. </w:t>
      </w:r>
    </w:p>
    <w:p w:rsidR="003A7BC9" w:rsidRPr="003A7BC9" w:rsidRDefault="003A7BC9" w:rsidP="003A7BC9">
      <w:pPr>
        <w:numPr>
          <w:ilvl w:val="1"/>
          <w:numId w:val="18"/>
        </w:numPr>
        <w:spacing w:before="120" w:after="0" w:line="240" w:lineRule="auto"/>
        <w:ind w:left="851" w:hanging="454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Объем оказываемых услуг: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оказывает услуги по обеспечению развития информационных и функциональных возможностей ИПК, оптимизации функционирования ИПК в соответствии с требованиями, описанными в разделе 4 настоящего Технического задания:</w:t>
      </w:r>
    </w:p>
    <w:p w:rsidR="003A7BC9" w:rsidRPr="003A7BC9" w:rsidRDefault="003A7BC9" w:rsidP="003A7BC9">
      <w:pPr>
        <w:numPr>
          <w:ilvl w:val="2"/>
          <w:numId w:val="18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1С:Энергобиллинг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соответствии с Фиксированным перечнем Услуг, указанных в таблице 1:</w:t>
      </w:r>
    </w:p>
    <w:p w:rsidR="003A7BC9" w:rsidRPr="003A7BC9" w:rsidRDefault="003A7BC9" w:rsidP="003A7BC9">
      <w:pPr>
        <w:keepNext/>
        <w:suppressAutoHyphens/>
        <w:spacing w:before="120" w:after="120" w:line="240" w:lineRule="auto"/>
        <w:ind w:left="360"/>
        <w:contextualSpacing/>
        <w:jc w:val="right"/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</w:pPr>
      <w:r w:rsidRPr="003A7BC9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ru-RU"/>
        </w:rPr>
        <w:t xml:space="preserve">Таблица 1. </w:t>
      </w:r>
      <w:r w:rsidRPr="003A7BC9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ar-SA"/>
        </w:rPr>
        <w:t>Фиксированный перечень Услуг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458"/>
        <w:gridCol w:w="2865"/>
        <w:gridCol w:w="1765"/>
        <w:gridCol w:w="4257"/>
      </w:tblGrid>
      <w:tr w:rsidR="003A7BC9" w:rsidRPr="003A7BC9" w:rsidTr="00374440">
        <w:trPr>
          <w:trHeight w:val="558"/>
        </w:trPr>
        <w:tc>
          <w:tcPr>
            <w:tcW w:w="228" w:type="pct"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Наименование Услуги</w:t>
            </w:r>
          </w:p>
        </w:tc>
        <w:tc>
          <w:tcPr>
            <w:tcW w:w="950" w:type="pct"/>
            <w:vAlign w:val="center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Ориентировочный объем Услуг, человеко-часы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Описание модификации</w:t>
            </w:r>
          </w:p>
        </w:tc>
      </w:tr>
      <w:tr w:rsidR="003A7BC9" w:rsidRPr="003A7BC9" w:rsidTr="00374440">
        <w:trPr>
          <w:trHeight w:val="900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 xml:space="preserve">Модификация существующей обработки (При фин расчете в накладную должна попадать информация по виду расчета и вид нагрузки из Актов тепловых расчетов. </w:t>
            </w:r>
            <w:r w:rsidRPr="003A7BC9">
              <w:rPr>
                <w:rFonts w:ascii="Tahoma" w:hAnsi="Tahoma" w:cs="Tahoma"/>
                <w:sz w:val="16"/>
                <w:szCs w:val="16"/>
              </w:rPr>
              <w:br/>
              <w:t>Актуализация функционала автоматических перерасчетов и отчета КЭС_5)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 xml:space="preserve">Необходимо в существующей обработке заменить формируемый документ «Акт технического обследования» на аналогичный документ «Акт финансового перерасчёта». Отличия документов в том, что у «Акта финансового перерасчёта» более детальные записи в Табличной части с большим количеством колонок, чем у «акта технического обследования» </w:t>
            </w:r>
          </w:p>
        </w:tc>
      </w:tr>
      <w:tr w:rsidR="003A7BC9" w:rsidRPr="003A7BC9" w:rsidTr="00374440">
        <w:trPr>
          <w:trHeight w:val="900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Модификация теплового расчета (в части расчёта некачественной поставки в зонах не ЦЗТ)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Необходимо в существующем функционале Теплового расчёта в части расчёта некачественной поставки в зонах Не ЦЗТ добавить условия, при которых такой расчёт выполняться не должен. Так же данные условия должны быть добавлены в существующий функционал финансового расчёта для исключения выставления документов за некачественную поставку.</w:t>
            </w:r>
          </w:p>
        </w:tc>
      </w:tr>
      <w:tr w:rsidR="003A7BC9" w:rsidRPr="003A7BC9" w:rsidTr="00374440">
        <w:trPr>
          <w:trHeight w:val="1575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Модификация синхронизации ФИАС в теплоустановках с кодом ФИАС строений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Синхронизация адресов у Строений (зданий) и подчиненных объектов (теплоустановок - ТУ).</w:t>
            </w:r>
          </w:p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1) Нужна обработка (с фоновым заданием раз в день) для синхронизации адресов между строениями и подчиненными ТУ, но с обязательным условием, что дополнительный реквизит адреса: конкретное помещение (квартира/помещение/офис и т.д.) затираться не должен (т.е. синхронизируется все, что записано до корпуса дома (включительно) от адреса строения к адресам ТУ. После синхронизации представление адреса по ТУ, должно формироваться с учетом данного реквизита.</w:t>
            </w:r>
          </w:p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2) Запретить пользователем (без прав админа) изменять адрес ТУ, кроме полей конкретного помещения (квартиры/помещения/офиса и т.д.). Те адрес должен быть виден в ТУ, но при попытке изменить адрес должно выводиться только изменение помещения.</w:t>
            </w:r>
          </w:p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3) При прикреплении ТУ к помещению строения адрес ТУ должен формироваться автоматически аналогично адресу Строения, кроме кроме полей конкретного помещения (квартиры/помещения/офиса и т.д.)</w:t>
            </w:r>
          </w:p>
        </w:tc>
      </w:tr>
      <w:tr w:rsidR="003A7BC9" w:rsidRPr="003A7BC9" w:rsidTr="00374440">
        <w:trPr>
          <w:trHeight w:val="1575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Модификация внешней обработки для выполнения перерасчетов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Необходимо выполнить доработку существующей внешней обработки – добавить возможность устанавливать признаки перерасчетов (связанный и/или зеркальный перерасчеты) в шаблон Excel и чтобы эти признаки отражались в актах технического обследования</w:t>
            </w:r>
          </w:p>
        </w:tc>
      </w:tr>
      <w:tr w:rsidR="003A7BC9" w:rsidRPr="003A7BC9" w:rsidTr="00374440">
        <w:trPr>
          <w:trHeight w:val="1575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</w:rPr>
              <w:t>Изменение логики расчета Гкал на ГВС в МКД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Требуется модификация распределения м3 по показаниям ОДПУ для бойлерных МКД.</w:t>
            </w:r>
          </w:p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Если схема теплоснабжения строения закрытая и установлен признак «Бойлер», то в случае наличия по ОДПУ показаний по м3 (в т.ч. нулевых) они не должны распределяться на графики ГВС подчиненных позиций теплоустановок, должны распределяться на потери в теплопотребляющем оборудовании или абонентских сетях. Если оборудование и сети отсутствуют или не имеют потерь в м3, то показания в м3 должны попадать в небаланс</w:t>
            </w:r>
          </w:p>
        </w:tc>
      </w:tr>
      <w:tr w:rsidR="003A7BC9" w:rsidRPr="003A7BC9" w:rsidTr="00374440">
        <w:trPr>
          <w:trHeight w:val="1575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</w:rPr>
              <w:t>Загрузка поквартирных расчетов с ЮЛ из Oracle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numPr>
                <w:ilvl w:val="0"/>
                <w:numId w:val="26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Изменение шаблона загрузки данных из сторонних систем: добавление нового поля для учета признака необходимости расчета повышающего коэффициента, непосредственно расчет и отражение в первичных документах повышающего коэффициента по строкам шаблона, в которых этот признак будет установлен.</w:t>
            </w:r>
          </w:p>
          <w:p w:rsidR="003A7BC9" w:rsidRPr="003A7BC9" w:rsidRDefault="003A7BC9" w:rsidP="003A7BC9">
            <w:pPr>
              <w:numPr>
                <w:ilvl w:val="0"/>
                <w:numId w:val="26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Изменение логики определения договора теплоустановки при чтении шаблона загрузки данных из сторонних систем.</w:t>
            </w:r>
          </w:p>
        </w:tc>
      </w:tr>
      <w:tr w:rsidR="003A7BC9" w:rsidRPr="003A7BC9" w:rsidTr="00374440">
        <w:trPr>
          <w:trHeight w:val="1575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</w:rPr>
              <w:t>Средние показания по ИПУ не зарегистрированный в системе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Расширение функционала расчета средних показаний на системный тип прибора учета, по которому в текущей конфигурации установлен запрет на расчет средних показаний.</w:t>
            </w:r>
          </w:p>
        </w:tc>
      </w:tr>
      <w:tr w:rsidR="003A7BC9" w:rsidRPr="003A7BC9" w:rsidTr="00374440">
        <w:trPr>
          <w:trHeight w:val="1575"/>
        </w:trPr>
        <w:tc>
          <w:tcPr>
            <w:tcW w:w="228" w:type="pct"/>
          </w:tcPr>
          <w:p w:rsidR="003A7BC9" w:rsidRPr="003A7BC9" w:rsidRDefault="003A7BC9" w:rsidP="003A7BC9">
            <w:pPr>
              <w:numPr>
                <w:ilvl w:val="0"/>
                <w:numId w:val="22"/>
              </w:numPr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9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</w:rPr>
              <w:t>Интеграция с МетеоИнфо</w:t>
            </w:r>
          </w:p>
        </w:tc>
        <w:tc>
          <w:tcPr>
            <w:tcW w:w="950" w:type="pct"/>
          </w:tcPr>
          <w:p w:rsidR="003A7BC9" w:rsidRPr="003A7BC9" w:rsidRDefault="003A7BC9" w:rsidP="003A7B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2283" w:type="pct"/>
            <w:hideMark/>
          </w:tcPr>
          <w:p w:rsidR="003A7BC9" w:rsidRPr="003A7BC9" w:rsidRDefault="003A7BC9" w:rsidP="003A7BC9">
            <w:pPr>
              <w:rPr>
                <w:rFonts w:ascii="Tahoma" w:hAnsi="Tahoma" w:cs="Tahoma"/>
                <w:sz w:val="16"/>
                <w:szCs w:val="16"/>
              </w:rPr>
            </w:pPr>
            <w:r w:rsidRPr="003A7BC9">
              <w:rPr>
                <w:rFonts w:ascii="Tahoma" w:hAnsi="Tahoma" w:cs="Tahoma"/>
                <w:sz w:val="16"/>
                <w:szCs w:val="16"/>
              </w:rPr>
              <w:t>Необходимо, чтобы в существующих элементов справочника «ГрафикТемпературНаружногоВоздуха» температура наружного воздуха заносилась по условиям в автоматическом режиме, используя данные сайта компании</w:t>
            </w:r>
          </w:p>
        </w:tc>
      </w:tr>
    </w:tbl>
    <w:p w:rsidR="003A7BC9" w:rsidRPr="003A7BC9" w:rsidRDefault="003A7BC9" w:rsidP="003A7BC9">
      <w:pPr>
        <w:spacing w:before="120" w:after="0" w:line="240" w:lineRule="auto"/>
        <w:ind w:left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3A7BC9" w:rsidRPr="003A7BC9" w:rsidRDefault="003A7BC9" w:rsidP="003A7BC9">
      <w:pPr>
        <w:numPr>
          <w:ilvl w:val="2"/>
          <w:numId w:val="18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Объем Услуг специалистов по дополнительным доработкам функционала корпоративной информационной системы 1С:Энергобиллинг сверх Фиксированного Перечня Услуг, указаны в таблице 2: </w:t>
      </w:r>
    </w:p>
    <w:p w:rsidR="003A7BC9" w:rsidRPr="003A7BC9" w:rsidRDefault="003A7BC9" w:rsidP="003A7BC9">
      <w:pPr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18"/>
          <w:szCs w:val="18"/>
          <w:lang w:eastAsia="ru-RU"/>
        </w:rPr>
        <w:t>Таблица 2. Объем Услуг специалистов по дополнительным доработкам функционала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5131"/>
        <w:gridCol w:w="2534"/>
      </w:tblGrid>
      <w:tr w:rsidR="003A7BC9" w:rsidRPr="003A7BC9" w:rsidTr="00374440">
        <w:trPr>
          <w:trHeight w:val="519"/>
          <w:jc w:val="right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BC9" w:rsidRPr="003A7BC9" w:rsidRDefault="003A7BC9" w:rsidP="003A7BC9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13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BC9" w:rsidRPr="003A7BC9" w:rsidRDefault="003A7BC9" w:rsidP="003A7BC9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оказываемых Услуг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BC9" w:rsidRPr="003A7BC9" w:rsidRDefault="003A7BC9" w:rsidP="003A7BC9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Объем Услуг</w:t>
            </w: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,</w:t>
            </w: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человеко-часы</w:t>
            </w:r>
          </w:p>
        </w:tc>
      </w:tr>
      <w:tr w:rsidR="003A7BC9" w:rsidRPr="003A7BC9" w:rsidTr="00374440">
        <w:trPr>
          <w:jc w:val="right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BC9" w:rsidRPr="003A7BC9" w:rsidRDefault="003A7BC9" w:rsidP="003A7BC9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BC9" w:rsidRPr="003A7BC9" w:rsidRDefault="003A7BC9" w:rsidP="003A7BC9">
            <w:pPr>
              <w:autoSpaceDE w:val="0"/>
              <w:autoSpaceDN w:val="0"/>
              <w:spacing w:before="40" w:after="40" w:line="240" w:lineRule="auto"/>
              <w:ind w:left="-992" w:firstLine="1276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Услуги разработчика</w:t>
            </w: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</w:tbl>
    <w:p w:rsidR="003A7BC9" w:rsidRPr="003A7BC9" w:rsidRDefault="003A7BC9" w:rsidP="003A7BC9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Указанный объем услуг может быть изменен в соответствии с согласованным объемом услуг на этапе Заявки без заключения дополнительного соглашения к договору.</w:t>
      </w:r>
    </w:p>
    <w:p w:rsidR="003A7BC9" w:rsidRPr="003A7BC9" w:rsidRDefault="003A7BC9" w:rsidP="003A7BC9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Общий объем услуг специалистов Исполнителя по п. 3.2.2 в рамках договора должен быть не менее 220 человеко-часов, если иного не будет определено по согласованию сторон в ходе реализации услуг.</w:t>
      </w:r>
    </w:p>
    <w:p w:rsidR="003A7BC9" w:rsidRPr="003A7BC9" w:rsidRDefault="003A7BC9" w:rsidP="003A7BC9">
      <w:pPr>
        <w:numPr>
          <w:ilvl w:val="2"/>
          <w:numId w:val="18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Этапы оказания Услуг указаны в таблице 3:</w:t>
      </w:r>
    </w:p>
    <w:p w:rsidR="003A7BC9" w:rsidRPr="003A7BC9" w:rsidRDefault="003A7BC9" w:rsidP="003A7BC9">
      <w:pPr>
        <w:keepNext/>
        <w:suppressAutoHyphens/>
        <w:spacing w:before="120" w:after="12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3A7BC9">
        <w:rPr>
          <w:rFonts w:ascii="Tahoma" w:eastAsia="Times New Roman" w:hAnsi="Tahoma" w:cs="Tahoma"/>
          <w:bCs/>
          <w:sz w:val="18"/>
          <w:szCs w:val="18"/>
          <w:lang w:eastAsia="ru-RU"/>
        </w:rPr>
        <w:t>Таблица 3. Этапы Услуг</w:t>
      </w:r>
    </w:p>
    <w:tbl>
      <w:tblPr>
        <w:tblpPr w:leftFromText="180" w:rightFromText="180" w:vertAnchor="text" w:tblpXSpec="right" w:tblpY="1"/>
        <w:tblOverlap w:val="never"/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3837"/>
      </w:tblGrid>
      <w:tr w:rsidR="003A7BC9" w:rsidRPr="003A7BC9" w:rsidTr="00374440">
        <w:trPr>
          <w:trHeight w:val="563"/>
          <w:tblHeader/>
          <w:jc w:val="right"/>
        </w:trPr>
        <w:tc>
          <w:tcPr>
            <w:tcW w:w="704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этапа Услуг</w:t>
            </w:r>
          </w:p>
        </w:tc>
        <w:tc>
          <w:tcPr>
            <w:tcW w:w="3837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ind w:hanging="5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 Услуг</w:t>
            </w:r>
          </w:p>
        </w:tc>
      </w:tr>
      <w:tr w:rsidR="003A7BC9" w:rsidRPr="003A7BC9" w:rsidTr="00374440">
        <w:trPr>
          <w:tblHeader/>
          <w:jc w:val="right"/>
        </w:trPr>
        <w:tc>
          <w:tcPr>
            <w:tcW w:w="704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0"/>
                <w:numId w:val="23"/>
              </w:num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Уточнение ТП, переданного Заказчиком.</w:t>
            </w:r>
            <w:r w:rsidRPr="003A7BC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Согласованный с Заказчиком детализированный ТП</w:t>
            </w:r>
            <w:r w:rsidRPr="003A7BC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7BC9" w:rsidRPr="003A7BC9" w:rsidTr="00374440">
        <w:trPr>
          <w:tblHeader/>
          <w:jc w:val="right"/>
        </w:trPr>
        <w:tc>
          <w:tcPr>
            <w:tcW w:w="704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0"/>
                <w:numId w:val="23"/>
              </w:num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Реализация и внутреннее тестирование функциональности на основании проектных решений этапа 1.</w:t>
            </w:r>
          </w:p>
        </w:tc>
        <w:tc>
          <w:tcPr>
            <w:tcW w:w="3837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3A7BC9" w:rsidRPr="003A7BC9" w:rsidTr="00374440">
        <w:trPr>
          <w:tblHeader/>
          <w:jc w:val="right"/>
        </w:trPr>
        <w:tc>
          <w:tcPr>
            <w:tcW w:w="704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0"/>
                <w:numId w:val="23"/>
              </w:num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Разработка пользовательской и сопроводительной документации.</w:t>
            </w:r>
          </w:p>
        </w:tc>
        <w:tc>
          <w:tcPr>
            <w:tcW w:w="3837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Руководство Пользователя.</w:t>
            </w:r>
          </w:p>
        </w:tc>
      </w:tr>
      <w:tr w:rsidR="003A7BC9" w:rsidRPr="003A7BC9" w:rsidTr="00374440">
        <w:trPr>
          <w:tblHeader/>
          <w:jc w:val="right"/>
        </w:trPr>
        <w:tc>
          <w:tcPr>
            <w:tcW w:w="704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0"/>
                <w:numId w:val="23"/>
              </w:num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Разработка сценариев приемочного тестирования.</w:t>
            </w:r>
          </w:p>
        </w:tc>
        <w:tc>
          <w:tcPr>
            <w:tcW w:w="3837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Сценарий приемочного тестирования.</w:t>
            </w:r>
          </w:p>
        </w:tc>
      </w:tr>
      <w:tr w:rsidR="003A7BC9" w:rsidRPr="003A7BC9" w:rsidTr="00374440">
        <w:trPr>
          <w:tblHeader/>
          <w:jc w:val="right"/>
        </w:trPr>
        <w:tc>
          <w:tcPr>
            <w:tcW w:w="704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0"/>
                <w:numId w:val="23"/>
              </w:num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Приемо-сдаточные испытания, перевод в опытную эксплуатацию.</w:t>
            </w:r>
          </w:p>
        </w:tc>
        <w:tc>
          <w:tcPr>
            <w:tcW w:w="3837" w:type="dxa"/>
            <w:vAlign w:val="center"/>
          </w:tcPr>
          <w:p w:rsidR="003A7BC9" w:rsidRPr="003A7BC9" w:rsidRDefault="003A7BC9" w:rsidP="003A7BC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:rsidR="003A7BC9" w:rsidRPr="003A7BC9" w:rsidRDefault="003A7BC9" w:rsidP="003A7BC9">
      <w:pPr>
        <w:widowControl w:val="0"/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3A7BC9" w:rsidRPr="003A7BC9" w:rsidRDefault="003A7BC9" w:rsidP="003A7BC9">
      <w:pPr>
        <w:spacing w:before="120" w:after="0" w:line="240" w:lineRule="auto"/>
        <w:ind w:left="155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этапы и состав услуг, выполняемых в рамках конкретной Услуги, определяются и фиксируются в Заявке на этапе согласования заявки Сторонами.</w:t>
      </w:r>
    </w:p>
    <w:p w:rsidR="003A7BC9" w:rsidRPr="003A7BC9" w:rsidRDefault="003A7BC9" w:rsidP="003A7BC9">
      <w:pPr>
        <w:numPr>
          <w:ilvl w:val="0"/>
          <w:numId w:val="20"/>
        </w:numPr>
        <w:spacing w:before="120" w:after="0" w:line="240" w:lineRule="auto"/>
        <w:ind w:left="426" w:hanging="426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к порядку и условиям оказания услуг</w:t>
      </w:r>
    </w:p>
    <w:p w:rsidR="003A7BC9" w:rsidRPr="003A7BC9" w:rsidRDefault="003A7BC9" w:rsidP="003A7BC9">
      <w:pPr>
        <w:spacing w:before="120" w:after="0" w:line="240" w:lineRule="auto"/>
        <w:ind w:left="39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Требования к оказываемым услугам по Доработке функционала корпоративной информационной системы 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1С:Энергобиллинг 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в соответствии с Заявками Заказчика по обеспечению развития информационных и функциональных возможностей ИПК, оптимизации функционирования ИПК (Далее – Заявка на доработку):</w:t>
      </w:r>
    </w:p>
    <w:p w:rsidR="003A7BC9" w:rsidRPr="003A7BC9" w:rsidRDefault="003A7BC9" w:rsidP="003A7BC9">
      <w:pPr>
        <w:numPr>
          <w:ilvl w:val="1"/>
          <w:numId w:val="21"/>
        </w:numPr>
        <w:spacing w:before="120" w:after="0" w:line="240" w:lineRule="auto"/>
        <w:ind w:left="851" w:hanging="425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Место выполнения оказания услуг: услуги оказываются дистанционно посредством предоставления удаленного доступа специалистам Исполнителя к средам разработки ПО Заказчика.</w:t>
      </w:r>
    </w:p>
    <w:p w:rsidR="003A7BC9" w:rsidRPr="003A7BC9" w:rsidRDefault="003A7BC9" w:rsidP="003A7BC9">
      <w:pPr>
        <w:numPr>
          <w:ilvl w:val="1"/>
          <w:numId w:val="21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оказание услуг по доработке биллингового ИПК в соответствии с п. 3.2.2. Состав и перечень услуг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Приложения, которое подписывается с двух сторон в двух экземплярах. 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Заявка на доработку содержит:</w:t>
      </w:r>
    </w:p>
    <w:p w:rsidR="003A7BC9" w:rsidRPr="003A7BC9" w:rsidRDefault="003A7BC9" w:rsidP="003A7BC9">
      <w:pPr>
        <w:widowControl w:val="0"/>
        <w:numPr>
          <w:ilvl w:val="0"/>
          <w:numId w:val="11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Требование на доработку биллингового ИПК.</w:t>
      </w:r>
    </w:p>
    <w:p w:rsidR="003A7BC9" w:rsidRPr="003A7BC9" w:rsidRDefault="003A7BC9" w:rsidP="003A7BC9">
      <w:pPr>
        <w:widowControl w:val="0"/>
        <w:numPr>
          <w:ilvl w:val="0"/>
          <w:numId w:val="11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При необходимости: документы, требуемые для доработки биллингового ИПК или ссылки на документы, если такие документы являются общедоступными.</w:t>
      </w:r>
    </w:p>
    <w:p w:rsidR="003A7BC9" w:rsidRPr="003A7BC9" w:rsidRDefault="003A7BC9" w:rsidP="003A7BC9">
      <w:pPr>
        <w:widowControl w:val="0"/>
        <w:numPr>
          <w:ilvl w:val="0"/>
          <w:numId w:val="11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При необходимости: срок, к которому Заказчику необходимо передать результаты оказанных услуг.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в обязательном порядке должна быть продублирована в проектном трекере Заказчика. 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Стоимость Услуг Исполнителя зафиксирована в п.2.2 Договора на объём оказываемых по договору услуг по Фиксированному перечню Заявок и по Услугам специалистов. 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По Услугам специалистов оплате подлежат только трудозатраты Исполнителя, потраченные на оказание услуг по Заявкам Заказчика, без учета времени простоя. 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Стоимость услуг должна включать в себя все налоги и другие обязательные платежи, включая командировочные и сопутствующие расходы Исполнителя.</w:t>
      </w:r>
    </w:p>
    <w:p w:rsidR="003A7BC9" w:rsidRPr="003A7BC9" w:rsidRDefault="003A7BC9" w:rsidP="003A7BC9">
      <w:pPr>
        <w:spacing w:before="120" w:after="0" w:line="240" w:lineRule="auto"/>
        <w:ind w:left="85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считается выполненной при следующих условиях: </w:t>
      </w:r>
    </w:p>
    <w:p w:rsidR="003A7BC9" w:rsidRPr="003A7BC9" w:rsidRDefault="003A7BC9" w:rsidP="003A7BC9">
      <w:pPr>
        <w:widowControl w:val="0"/>
        <w:numPr>
          <w:ilvl w:val="0"/>
          <w:numId w:val="11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Разработка выполнена в соответствии с требованиями к Результатам услуг согласно п. 4.2, в полном объеме и оформлена в соответствии с п. п. 7.1 п. п. 6.2 настоящего Задания.</w:t>
      </w:r>
    </w:p>
    <w:p w:rsidR="003A7BC9" w:rsidRPr="003A7BC9" w:rsidRDefault="003A7BC9" w:rsidP="003A7BC9">
      <w:pPr>
        <w:widowControl w:val="0"/>
        <w:numPr>
          <w:ilvl w:val="0"/>
          <w:numId w:val="11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Успешно пройдено тестирование. Критерием успешности является работа функционала в соответствии с ТП.</w:t>
      </w:r>
    </w:p>
    <w:p w:rsidR="003A7BC9" w:rsidRPr="003A7BC9" w:rsidRDefault="003A7BC9" w:rsidP="003A7BC9">
      <w:pPr>
        <w:widowControl w:val="0"/>
        <w:numPr>
          <w:ilvl w:val="0"/>
          <w:numId w:val="11"/>
        </w:numPr>
        <w:tabs>
          <w:tab w:val="left" w:pos="1560"/>
        </w:tabs>
        <w:suppressAutoHyphens/>
        <w:spacing w:before="60" w:after="60" w:line="240" w:lineRule="atLeast"/>
        <w:ind w:left="1276" w:right="57" w:hanging="357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Заказчику передан полный объем документации по разработке 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согласно перечню в приложениях к Заявке на доработку (Приложение №1 к Техническому заданию): Приложение №1 «Состав услуг» и Приложение №4 «Результаты услуг»</w:t>
      </w: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.</w:t>
      </w:r>
    </w:p>
    <w:p w:rsidR="003A7BC9" w:rsidRPr="003A7BC9" w:rsidRDefault="003A7BC9" w:rsidP="003A7BC9">
      <w:pPr>
        <w:numPr>
          <w:ilvl w:val="1"/>
          <w:numId w:val="21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Перед началом оказания услуг по Заявке Заказчик предоставляет Исполнителю: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Доступ к среде разработки/тестирования, включая: адрес подключения, логины, пароли.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Технический проект (ТП) по каждой модификации изложенной в п.3.1 настоящего ТЗ.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Удалённые рабочие места с установленным программным обеспечением:</w:t>
      </w:r>
    </w:p>
    <w:p w:rsidR="003A7BC9" w:rsidRPr="003A7BC9" w:rsidRDefault="003A7BC9" w:rsidP="003A7BC9">
      <w:pPr>
        <w:numPr>
          <w:ilvl w:val="0"/>
          <w:numId w:val="24"/>
        </w:numPr>
        <w:spacing w:before="120" w:after="0" w:line="240" w:lineRule="auto"/>
        <w:ind w:right="141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1С:Платформа 8.3 нетиповая конфигурация.</w:t>
      </w:r>
    </w:p>
    <w:p w:rsidR="003A7BC9" w:rsidRPr="003A7BC9" w:rsidRDefault="003A7BC9" w:rsidP="003A7BC9">
      <w:pPr>
        <w:numPr>
          <w:ilvl w:val="1"/>
          <w:numId w:val="21"/>
        </w:numPr>
        <w:spacing w:before="120" w:after="0" w:line="240" w:lineRule="auto"/>
        <w:ind w:left="851" w:hanging="45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Исполнитель должен обеспечить: 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Прием Заявок на доработку, направленных официальным письмом, или по электронной почте.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Обработку Заявок, включая:</w:t>
      </w:r>
    </w:p>
    <w:p w:rsidR="003A7BC9" w:rsidRPr="003A7BC9" w:rsidRDefault="003A7BC9" w:rsidP="003A7BC9">
      <w:pPr>
        <w:widowControl w:val="0"/>
        <w:numPr>
          <w:ilvl w:val="1"/>
          <w:numId w:val="15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сроков оказания услуг по Заявке, предложенных Заказчиком или обоснование иных сроков оказания услуг.</w:t>
      </w:r>
    </w:p>
    <w:p w:rsidR="003A7BC9" w:rsidRPr="003A7BC9" w:rsidRDefault="003A7BC9" w:rsidP="003A7BC9">
      <w:pPr>
        <w:widowControl w:val="0"/>
        <w:numPr>
          <w:ilvl w:val="1"/>
          <w:numId w:val="15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Дополнительную проработку Заявок, разработку постановки задачи, при необходимости.</w:t>
      </w:r>
    </w:p>
    <w:p w:rsidR="003A7BC9" w:rsidRPr="003A7BC9" w:rsidRDefault="003A7BC9" w:rsidP="003A7BC9">
      <w:pPr>
        <w:widowControl w:val="0"/>
        <w:numPr>
          <w:ilvl w:val="1"/>
          <w:numId w:val="15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Выбор наиболее оптимального способа реализации Заявки в рамках ИПК.</w:t>
      </w:r>
    </w:p>
    <w:p w:rsidR="003A7BC9" w:rsidRPr="003A7BC9" w:rsidRDefault="003A7BC9" w:rsidP="003A7BC9">
      <w:pPr>
        <w:widowControl w:val="0"/>
        <w:numPr>
          <w:ilvl w:val="1"/>
          <w:numId w:val="15"/>
        </w:numPr>
        <w:suppressAutoHyphens/>
        <w:spacing w:before="60" w:after="0" w:line="240" w:lineRule="atLeast"/>
        <w:ind w:left="1843" w:right="57" w:hanging="283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способа реализации Заявки с Заказчиком.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Доработку биллингового ИПК по Заявке Заказчика.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ИПК.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Тестирование доработок, выполненных по Заявке Заказчика на стенде Заказчика.</w:t>
      </w:r>
    </w:p>
    <w:p w:rsidR="003A7BC9" w:rsidRPr="003A7BC9" w:rsidRDefault="003A7BC9" w:rsidP="003A7BC9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услуг в ходе оказания услуг официальным образом.</w:t>
      </w:r>
    </w:p>
    <w:p w:rsidR="003A7BC9" w:rsidRPr="003A7BC9" w:rsidRDefault="003A7BC9" w:rsidP="003A7BC9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Стенд Заказчика представляет собой копию продуктивной среды биллингового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доработку.</w:t>
      </w:r>
    </w:p>
    <w:p w:rsidR="003A7BC9" w:rsidRPr="003A7BC9" w:rsidRDefault="003A7BC9" w:rsidP="003A7BC9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Стенд Заказчика кроме среды тестирования содержит среду разработки. </w:t>
      </w:r>
    </w:p>
    <w:p w:rsidR="003A7BC9" w:rsidRPr="003A7BC9" w:rsidRDefault="003A7BC9" w:rsidP="003A7BC9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:rsidR="003A7BC9" w:rsidRPr="003A7BC9" w:rsidRDefault="003A7BC9" w:rsidP="003A7BC9">
      <w:pPr>
        <w:widowControl w:val="0"/>
        <w:tabs>
          <w:tab w:val="left" w:pos="1560"/>
        </w:tabs>
        <w:suppressAutoHyphens/>
        <w:spacing w:before="120" w:after="0" w:line="240" w:lineRule="atLeast"/>
        <w:ind w:left="1559" w:right="57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Стенд заказчика содержит необходимое настроенное программное обеспечение.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Предоставление результатов услуг по Заявке Заказчику, включая описание доработок в соответствии с Заявкой. 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Требования к документированию при оказании услуг указаны в таблице 5.</w:t>
      </w:r>
    </w:p>
    <w:p w:rsidR="003A7BC9" w:rsidRPr="003A7BC9" w:rsidRDefault="003A7BC9" w:rsidP="003A7BC9">
      <w:pPr>
        <w:widowControl w:val="0"/>
        <w:spacing w:before="120" w:after="12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18"/>
          <w:szCs w:val="18"/>
          <w:lang w:eastAsia="ru-RU"/>
        </w:rPr>
        <w:t>Таблица 5. Требования к документированию</w:t>
      </w:r>
    </w:p>
    <w:tbl>
      <w:tblPr>
        <w:tblW w:w="907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6965"/>
      </w:tblGrid>
      <w:tr w:rsidR="003A7BC9" w:rsidRPr="003A7BC9" w:rsidTr="00374440">
        <w:trPr>
          <w:trHeight w:val="588"/>
        </w:trPr>
        <w:tc>
          <w:tcPr>
            <w:tcW w:w="562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№ п</w:t>
            </w: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val="en-US" w:eastAsia="ru-RU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Документ от Исполнителя</w:t>
            </w:r>
          </w:p>
        </w:tc>
        <w:tc>
          <w:tcPr>
            <w:tcW w:w="6965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Требования</w:t>
            </w:r>
          </w:p>
        </w:tc>
      </w:tr>
      <w:tr w:rsidR="003A7BC9" w:rsidRPr="003A7BC9" w:rsidTr="00374440">
        <w:tc>
          <w:tcPr>
            <w:tcW w:w="562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2"/>
                <w:numId w:val="25"/>
              </w:numPr>
              <w:suppressAutoHyphens/>
              <w:spacing w:before="40" w:after="40" w:line="240" w:lineRule="atLeast"/>
              <w:contextualSpacing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Разработка </w:t>
            </w:r>
          </w:p>
        </w:tc>
        <w:tc>
          <w:tcPr>
            <w:tcW w:w="6965" w:type="dxa"/>
            <w:vAlign w:val="center"/>
          </w:tcPr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Разработка включает в себя код-ревью:</w:t>
            </w:r>
          </w:p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логирования и т.д. </w:t>
            </w:r>
          </w:p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c. Общая грамотность написанного кода – исключить: безликие переменные, отсутствие декомпозиции, дублирование логики и т.д</w:t>
            </w:r>
          </w:p>
        </w:tc>
      </w:tr>
      <w:tr w:rsidR="003A7BC9" w:rsidRPr="003A7BC9" w:rsidTr="00374440">
        <w:tc>
          <w:tcPr>
            <w:tcW w:w="562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2"/>
                <w:numId w:val="25"/>
              </w:numPr>
              <w:tabs>
                <w:tab w:val="left" w:pos="-284"/>
              </w:tabs>
              <w:suppressAutoHyphens/>
              <w:spacing w:before="40" w:after="40" w:line="240" w:lineRule="atLeast"/>
              <w:contextualSpacing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Результаты тестирования </w:t>
            </w:r>
          </w:p>
        </w:tc>
        <w:tc>
          <w:tcPr>
            <w:tcW w:w="6965" w:type="dxa"/>
            <w:vAlign w:val="center"/>
          </w:tcPr>
          <w:p w:rsidR="003A7BC9" w:rsidRPr="003A7BC9" w:rsidRDefault="003A7BC9" w:rsidP="003A7BC9">
            <w:pPr>
              <w:spacing w:before="40" w:after="40" w:line="240" w:lineRule="atLeast"/>
              <w:ind w:left="284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Прохождение сценария тестирования, описанного в п.4,4.</w:t>
            </w:r>
          </w:p>
        </w:tc>
      </w:tr>
      <w:tr w:rsidR="003A7BC9" w:rsidRPr="003A7BC9" w:rsidTr="00374440">
        <w:tc>
          <w:tcPr>
            <w:tcW w:w="562" w:type="dxa"/>
            <w:vAlign w:val="center"/>
          </w:tcPr>
          <w:p w:rsidR="003A7BC9" w:rsidRPr="003A7BC9" w:rsidRDefault="003A7BC9" w:rsidP="003A7BC9">
            <w:pPr>
              <w:widowControl w:val="0"/>
              <w:numPr>
                <w:ilvl w:val="2"/>
                <w:numId w:val="25"/>
              </w:numPr>
              <w:tabs>
                <w:tab w:val="left" w:pos="-284"/>
              </w:tabs>
              <w:suppressAutoHyphens/>
              <w:spacing w:before="40" w:after="40" w:line="240" w:lineRule="atLeast"/>
              <w:contextualSpacing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3A7BC9" w:rsidRPr="003A7BC9" w:rsidRDefault="003A7BC9" w:rsidP="003A7BC9">
            <w:pPr>
              <w:widowControl w:val="0"/>
              <w:tabs>
                <w:tab w:val="left" w:pos="-284"/>
              </w:tabs>
              <w:suppressAutoHyphens/>
              <w:spacing w:before="40" w:after="40" w:line="240" w:lineRule="atLeast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 xml:space="preserve">Руководство пользователя </w:t>
            </w:r>
          </w:p>
        </w:tc>
        <w:tc>
          <w:tcPr>
            <w:tcW w:w="6965" w:type="dxa"/>
            <w:shd w:val="clear" w:color="auto" w:fill="FFFFFF"/>
            <w:vAlign w:val="center"/>
          </w:tcPr>
          <w:p w:rsidR="003A7BC9" w:rsidRPr="003A7BC9" w:rsidRDefault="003A7BC9" w:rsidP="003A7BC9">
            <w:pPr>
              <w:numPr>
                <w:ilvl w:val="0"/>
                <w:numId w:val="16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:rsidR="003A7BC9" w:rsidRPr="003A7BC9" w:rsidRDefault="003A7BC9" w:rsidP="003A7BC9">
            <w:pPr>
              <w:numPr>
                <w:ilvl w:val="0"/>
                <w:numId w:val="16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:rsidR="003A7BC9" w:rsidRPr="003A7BC9" w:rsidRDefault="003A7BC9" w:rsidP="003A7BC9">
            <w:pPr>
              <w:numPr>
                <w:ilvl w:val="0"/>
                <w:numId w:val="16"/>
              </w:numPr>
              <w:spacing w:before="40" w:after="40" w:line="240" w:lineRule="atLeast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:rsidR="003A7BC9" w:rsidRPr="003A7BC9" w:rsidRDefault="003A7BC9" w:rsidP="003A7BC9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требования к документированию Услуг, выполняемых в рамках конкретной Заявки, определяются и фиксируются в Заявке на этапе согласования заявки Сторонами.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Устранение замечаний, выявленных в процессе тестирования,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Устранение технических ошибок (дефектов), других замечаний в функционировании биллингового ИПК в части доработанных компонент, выявленных в процессе эксплуатации доработанных компонент биллингового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Заявки. </w:t>
      </w:r>
    </w:p>
    <w:p w:rsidR="003A7BC9" w:rsidRPr="003A7BC9" w:rsidRDefault="003A7BC9" w:rsidP="003A7BC9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Работы выполняются строго с учетом версии эксплуатируемого биллингового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:rsidR="003A7BC9" w:rsidRPr="003A7BC9" w:rsidRDefault="003A7BC9" w:rsidP="003A7BC9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 выполнении доработок биллингового ИПК Исполнителем должно быть обеспечено сохранение существующей на момент оказания услуг функциональности биллингового ИПК, если иное не отражено в Заявке Заказчика.</w:t>
      </w:r>
    </w:p>
    <w:p w:rsidR="003A7BC9" w:rsidRPr="003A7BC9" w:rsidRDefault="003A7BC9" w:rsidP="003A7BC9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процессе оказания услуг Исполнитель должен проводить доработки и тестирование согласно Заявке. </w:t>
      </w:r>
    </w:p>
    <w:p w:rsidR="003A7BC9" w:rsidRPr="003A7BC9" w:rsidRDefault="003A7BC9" w:rsidP="003A7BC9">
      <w:pPr>
        <w:numPr>
          <w:ilvl w:val="2"/>
          <w:numId w:val="21"/>
        </w:numPr>
        <w:spacing w:before="120" w:after="0" w:line="240" w:lineRule="auto"/>
        <w:ind w:left="1560" w:right="141" w:hanging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Исполнитель при взаимодействии с Заказчиком обязан при планировании сроков по работам учесть:</w:t>
      </w:r>
    </w:p>
    <w:p w:rsidR="003A7BC9" w:rsidRPr="003A7BC9" w:rsidRDefault="003A7BC9" w:rsidP="003A7BC9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запрет на активные работы в декабре,</w:t>
      </w:r>
    </w:p>
    <w:p w:rsidR="003A7BC9" w:rsidRPr="003A7BC9" w:rsidRDefault="003A7BC9" w:rsidP="003A7BC9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не сдавать разработки (тестирование, дизайны на согласование, приемочные тестирования на этапе сдачи результата оказанных услуг целиком), планируемые в период с 26 числа по 30 (31, 28) числа и с 1 по 6 число месяца; </w:t>
      </w:r>
    </w:p>
    <w:p w:rsidR="003A7BC9" w:rsidRPr="003A7BC9" w:rsidRDefault="003A7BC9" w:rsidP="003A7BC9">
      <w:pPr>
        <w:spacing w:before="120" w:after="0" w:line="240" w:lineRule="auto"/>
        <w:ind w:left="1560" w:right="14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временные часовые пояса Заказчика. </w:t>
      </w:r>
    </w:p>
    <w:p w:rsidR="003A7BC9" w:rsidRPr="003A7BC9" w:rsidRDefault="003A7BC9" w:rsidP="003A7BC9">
      <w:pPr>
        <w:keepNext/>
        <w:numPr>
          <w:ilvl w:val="0"/>
          <w:numId w:val="21"/>
        </w:numPr>
        <w:spacing w:before="120" w:after="0" w:line="240" w:lineRule="auto"/>
        <w:ind w:left="397" w:right="142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контроля и приемки оказанных услуг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Приемка оказанных услуг основана на определении соответствия результатов услуг Заявкам на доработку и </w:t>
      </w: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ТП.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биллингового ИПК за свой счет.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Заказчика.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t>Форма Заявки на доработку и Протокола оказанных услуг по Заявке на доработку представлены в приложении к ТЗ [Приложение №1].</w:t>
      </w:r>
    </w:p>
    <w:p w:rsidR="003A7BC9" w:rsidRPr="003A7BC9" w:rsidRDefault="003A7BC9" w:rsidP="003A7BC9">
      <w:pPr>
        <w:numPr>
          <w:ilvl w:val="0"/>
          <w:numId w:val="21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по срокам и объемам предоставления гарантий оказываемых услуг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Срок предоставления гарантии качества оказываемых услуг 1 (один) год с даты подписания сторонами Акта оказанных услуг на эти услуги.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В течение данного периода Исполнитель должен оказывать услуги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оказываемых услуг по доработке биллингового ИПК (Далее – Технические ошибки).</w:t>
      </w:r>
    </w:p>
    <w:p w:rsidR="003A7BC9" w:rsidRPr="003A7BC9" w:rsidRDefault="003A7BC9" w:rsidP="003A7BC9">
      <w:pPr>
        <w:spacing w:before="120" w:after="0" w:line="240" w:lineRule="auto"/>
        <w:ind w:left="397" w:right="141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В случае, если в рамках развития биллингового ИПК, Заказчиком или иной организацией были внесены изменения в результаты оказываемых услуг Исполнителя по Заявкам на доработку, то такие результаты услуг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оказываемых услугах Исполнителем.</w:t>
      </w:r>
    </w:p>
    <w:p w:rsidR="003A7BC9" w:rsidRPr="003A7BC9" w:rsidRDefault="003A7BC9" w:rsidP="003A7BC9">
      <w:pPr>
        <w:numPr>
          <w:ilvl w:val="0"/>
          <w:numId w:val="21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оформления разработок</w:t>
      </w:r>
    </w:p>
    <w:p w:rsidR="003A7BC9" w:rsidRPr="003A7BC9" w:rsidRDefault="003A7BC9" w:rsidP="003A7BC9">
      <w:pPr>
        <w:widowControl w:val="0"/>
        <w:numPr>
          <w:ilvl w:val="1"/>
          <w:numId w:val="8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Оформление разработок выполняется в соответствии с требованиями, зафиксированными в Заявке.</w:t>
      </w:r>
    </w:p>
    <w:p w:rsidR="003A7BC9" w:rsidRPr="003A7BC9" w:rsidRDefault="003A7BC9" w:rsidP="003A7BC9">
      <w:pPr>
        <w:widowControl w:val="0"/>
        <w:numPr>
          <w:ilvl w:val="1"/>
          <w:numId w:val="8"/>
        </w:numPr>
        <w:suppressAutoHyphens/>
        <w:spacing w:before="120" w:after="0" w:line="240" w:lineRule="atLeast"/>
        <w:ind w:left="681" w:right="142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:rsidR="003A7BC9" w:rsidRPr="003A7BC9" w:rsidRDefault="003A7BC9" w:rsidP="003A7BC9">
      <w:pPr>
        <w:widowControl w:val="0"/>
        <w:numPr>
          <w:ilvl w:val="1"/>
          <w:numId w:val="8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Реализуемая логика дорабатываемых модулей биллингового ИПК должна содержать логические блоки, оформленные в отдельные процедуры и подмодули. Требуется избегать логически одинаковых подмодулей.</w:t>
      </w:r>
    </w:p>
    <w:p w:rsidR="003A7BC9" w:rsidRPr="003A7BC9" w:rsidRDefault="003A7BC9" w:rsidP="003A7BC9">
      <w:pPr>
        <w:widowControl w:val="0"/>
        <w:numPr>
          <w:ilvl w:val="1"/>
          <w:numId w:val="8"/>
        </w:numPr>
        <w:suppressAutoHyphens/>
        <w:spacing w:before="60" w:after="0" w:line="240" w:lineRule="atLeast"/>
        <w:ind w:left="681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:rsidR="003A7BC9" w:rsidRPr="003A7BC9" w:rsidRDefault="003A7BC9" w:rsidP="003A7BC9">
      <w:pPr>
        <w:numPr>
          <w:ilvl w:val="0"/>
          <w:numId w:val="12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Логически структурирован.</w:t>
      </w:r>
    </w:p>
    <w:p w:rsidR="003A7BC9" w:rsidRPr="003A7BC9" w:rsidRDefault="003A7BC9" w:rsidP="003A7BC9">
      <w:pPr>
        <w:numPr>
          <w:ilvl w:val="0"/>
          <w:numId w:val="12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Содержать комментарии в достаточном для понимания основных логических веток, объеме.</w:t>
      </w:r>
    </w:p>
    <w:p w:rsidR="003A7BC9" w:rsidRPr="003A7BC9" w:rsidRDefault="003A7BC9" w:rsidP="003A7BC9">
      <w:pPr>
        <w:numPr>
          <w:ilvl w:val="0"/>
          <w:numId w:val="12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Иметь логически правильное и связанное наименование переменных.</w:t>
      </w:r>
    </w:p>
    <w:p w:rsidR="003A7BC9" w:rsidRPr="003A7BC9" w:rsidRDefault="003A7BC9" w:rsidP="003A7BC9">
      <w:pPr>
        <w:numPr>
          <w:ilvl w:val="0"/>
          <w:numId w:val="12"/>
        </w:numPr>
        <w:tabs>
          <w:tab w:val="left" w:pos="-142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>Не содержать незакрытых итераторов и обращений к базам данных.</w:t>
      </w:r>
    </w:p>
    <w:p w:rsidR="003A7BC9" w:rsidRPr="003A7BC9" w:rsidRDefault="003A7BC9" w:rsidP="003A7BC9">
      <w:pPr>
        <w:numPr>
          <w:ilvl w:val="0"/>
          <w:numId w:val="12"/>
        </w:numPr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В рамках внутреннего тестирования Исполнителем, должны готовиться нагрузочные тесты в том случае, если они предусмотрены в Заявке. </w:t>
      </w:r>
    </w:p>
    <w:p w:rsidR="003A7BC9" w:rsidRPr="003A7BC9" w:rsidRDefault="003A7BC9" w:rsidP="003A7BC9">
      <w:pPr>
        <w:widowControl w:val="0"/>
        <w:numPr>
          <w:ilvl w:val="0"/>
          <w:numId w:val="12"/>
        </w:numPr>
        <w:tabs>
          <w:tab w:val="left" w:pos="1134"/>
        </w:tabs>
        <w:suppressAutoHyphens/>
        <w:spacing w:before="60" w:after="0" w:line="240" w:lineRule="atLeast"/>
        <w:ind w:left="964" w:right="141" w:hanging="284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Правила оформления и публикация программного кода в соответствии с Заявкой. </w:t>
      </w:r>
    </w:p>
    <w:p w:rsidR="003A7BC9" w:rsidRPr="003A7BC9" w:rsidRDefault="003A7BC9" w:rsidP="003A7BC9">
      <w:pPr>
        <w:widowControl w:val="0"/>
        <w:tabs>
          <w:tab w:val="left" w:pos="1134"/>
        </w:tabs>
        <w:suppressAutoHyphens/>
        <w:spacing w:before="60" w:after="0" w:line="240" w:lineRule="atLeast"/>
        <w:ind w:right="141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</w:p>
    <w:p w:rsidR="003A7BC9" w:rsidRPr="003A7BC9" w:rsidRDefault="003A7BC9" w:rsidP="003A7BC9">
      <w:pPr>
        <w:numPr>
          <w:ilvl w:val="0"/>
          <w:numId w:val="21"/>
        </w:numPr>
        <w:spacing w:before="120" w:after="0" w:line="240" w:lineRule="auto"/>
        <w:ind w:left="397" w:right="141" w:hanging="397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 приложений к техническому заданию</w:t>
      </w:r>
    </w:p>
    <w:p w:rsidR="003A7BC9" w:rsidRPr="003A7BC9" w:rsidRDefault="003A7BC9" w:rsidP="003A7BC9">
      <w:pPr>
        <w:numPr>
          <w:ilvl w:val="0"/>
          <w:numId w:val="17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№1 «Формы Заявок на доработку».</w:t>
      </w:r>
    </w:p>
    <w:p w:rsidR="003A7BC9" w:rsidRPr="003A7BC9" w:rsidRDefault="003A7BC9" w:rsidP="003A7BC9">
      <w:pPr>
        <w:numPr>
          <w:ilvl w:val="0"/>
          <w:numId w:val="17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№1 к Заявке на доработку «Состав услуг».</w:t>
      </w:r>
    </w:p>
    <w:p w:rsidR="003A7BC9" w:rsidRPr="003A7BC9" w:rsidRDefault="003A7BC9" w:rsidP="003A7BC9">
      <w:pPr>
        <w:numPr>
          <w:ilvl w:val="0"/>
          <w:numId w:val="17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№2 к Заявке на доработку «Требования к оказанию услуг».</w:t>
      </w:r>
    </w:p>
    <w:p w:rsidR="003A7BC9" w:rsidRPr="003A7BC9" w:rsidRDefault="003A7BC9" w:rsidP="003A7BC9">
      <w:pPr>
        <w:numPr>
          <w:ilvl w:val="0"/>
          <w:numId w:val="17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№3 к Заявке на доработку «Протокол передачи удаленных рабочих мест».</w:t>
      </w:r>
    </w:p>
    <w:p w:rsidR="003A7BC9" w:rsidRPr="003A7BC9" w:rsidRDefault="003A7BC9" w:rsidP="003A7BC9">
      <w:pPr>
        <w:numPr>
          <w:ilvl w:val="0"/>
          <w:numId w:val="17"/>
        </w:numPr>
        <w:spacing w:before="120" w:after="0" w:line="240" w:lineRule="auto"/>
        <w:ind w:left="754" w:right="141" w:hanging="357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№4 к Заявке на доработку «Результаты услуг, Протокол оказанных услуг по Заявке на доработку».</w:t>
      </w:r>
    </w:p>
    <w:p w:rsidR="003A7BC9" w:rsidRPr="003A7BC9" w:rsidRDefault="003A7BC9" w:rsidP="003A7BC9">
      <w:pPr>
        <w:spacing w:after="200" w:line="276" w:lineRule="auto"/>
        <w:ind w:right="141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№1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3A7BC9" w:rsidRPr="003A7BC9" w:rsidRDefault="003A7BC9" w:rsidP="003A7BC9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оказание услуг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>по доработке функциональности корпоративной информационной биллинговой системы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>1С:Энергобиллинг</w:t>
      </w:r>
    </w:p>
    <w:p w:rsidR="003A7BC9" w:rsidRPr="003A7BC9" w:rsidRDefault="003A7BC9" w:rsidP="003A7BC9">
      <w:pPr>
        <w:spacing w:before="80" w:after="200" w:line="276" w:lineRule="auto"/>
        <w:ind w:left="-993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pacing w:before="80" w:after="200" w:line="276" w:lineRule="auto"/>
        <w:ind w:left="-993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Форма Заявки на доработку по Фиксированному перечню Услуг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br/>
        <w:t>(в соответствии с п. 3.2.1 настоящего ТЗ)</w:t>
      </w:r>
    </w:p>
    <w:p w:rsidR="003A7BC9" w:rsidRPr="003A7BC9" w:rsidRDefault="003A7BC9" w:rsidP="003A7BC9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3A7BC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3A7BC9" w:rsidRPr="003A7BC9" w:rsidRDefault="003A7BC9" w:rsidP="003A7BC9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3A7BC9" w:rsidRPr="003A7BC9" w:rsidRDefault="003A7BC9" w:rsidP="003A7B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3A7BC9" w:rsidRPr="003A7BC9" w:rsidTr="00374440">
        <w:tc>
          <w:tcPr>
            <w:tcW w:w="358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Услуг, руб.</w:t>
            </w: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3A7BC9" w:rsidRPr="003A7BC9" w:rsidTr="00374440">
        <w:trPr>
          <w:trHeight w:val="423"/>
        </w:trPr>
        <w:tc>
          <w:tcPr>
            <w:tcW w:w="358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4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4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4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A7BC9" w:rsidRPr="003A7BC9" w:rsidRDefault="003A7BC9" w:rsidP="003A7BC9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1. Цена 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У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слуг: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Услуг и требования к оказанию: __________________.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Услуг: ____________________________.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Услуг: ________________________________.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3A7BC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3A7BC9" w:rsidRPr="003A7BC9" w:rsidRDefault="003A7BC9" w:rsidP="003A7BC9">
      <w:pPr>
        <w:numPr>
          <w:ilvl w:val="0"/>
          <w:numId w:val="9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3A7BC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3A7BC9" w:rsidRPr="003A7BC9" w:rsidRDefault="003A7BC9" w:rsidP="003A7BC9">
      <w:pPr>
        <w:numPr>
          <w:ilvl w:val="0"/>
          <w:numId w:val="9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3A7BC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3A7BC9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A7BC9" w:rsidRPr="003A7BC9" w:rsidRDefault="003A7BC9" w:rsidP="003A7BC9">
      <w:pPr>
        <w:autoSpaceDE w:val="0"/>
        <w:autoSpaceDN w:val="0"/>
        <w:adjustRightInd w:val="0"/>
        <w:spacing w:after="0" w:line="240" w:lineRule="auto"/>
        <w:ind w:right="-223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3A7BC9" w:rsidRPr="003A7BC9" w:rsidRDefault="003A7BC9" w:rsidP="003A7BC9">
      <w:pPr>
        <w:pageBreakBefore/>
        <w:spacing w:before="80" w:after="200" w:line="276" w:lineRule="auto"/>
        <w:ind w:left="-992" w:firstLine="425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Заявки на доработку 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сверх Фиксированного перечня Услуг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br/>
        <w:t>(в соответствии с п. 3.2.2 настоящего ТЗ)</w:t>
      </w:r>
    </w:p>
    <w:p w:rsidR="003A7BC9" w:rsidRPr="003A7BC9" w:rsidRDefault="003A7BC9" w:rsidP="003A7BC9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3A7BC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3A7BC9" w:rsidRPr="003A7BC9" w:rsidRDefault="003A7BC9" w:rsidP="003A7BC9">
      <w:pPr>
        <w:widowControl w:val="0"/>
        <w:autoSpaceDE w:val="0"/>
        <w:autoSpaceDN w:val="0"/>
        <w:spacing w:after="0" w:line="240" w:lineRule="atLeast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3A7BC9" w:rsidRPr="003A7BC9" w:rsidRDefault="003A7BC9" w:rsidP="003A7B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3A7BC9" w:rsidRPr="003A7BC9" w:rsidTr="00374440">
        <w:tc>
          <w:tcPr>
            <w:tcW w:w="358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Услуг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Ставка, руб/час, 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Услуг,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Услуг, руб.</w:t>
            </w: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3A7BC9" w:rsidRPr="003A7BC9" w:rsidTr="00374440">
        <w:tc>
          <w:tcPr>
            <w:tcW w:w="358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58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Услуги разработчика</w:t>
            </w:r>
          </w:p>
        </w:tc>
        <w:tc>
          <w:tcPr>
            <w:tcW w:w="993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5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1131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5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1131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5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1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A7BC9" w:rsidRPr="003A7BC9" w:rsidRDefault="003A7BC9" w:rsidP="003A7BC9">
      <w:pPr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1. Цена 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У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слуг: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Услуг по настоящей Заявке составляет ___________ (___________) рублей _____копеек, в т.ч. НДС 20% _____ (_________) рублей ___ копеек.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Услуг и требования к оказанию: __________________.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Услуг: ____________________________.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Услуг: ________________________________.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3A7BC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3A7BC9" w:rsidRPr="003A7BC9" w:rsidRDefault="003A7BC9" w:rsidP="003A7BC9">
      <w:pPr>
        <w:numPr>
          <w:ilvl w:val="0"/>
          <w:numId w:val="9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3A7BC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3A7BC9" w:rsidRPr="003A7BC9" w:rsidRDefault="003A7BC9" w:rsidP="003A7BC9">
      <w:pPr>
        <w:numPr>
          <w:ilvl w:val="0"/>
          <w:numId w:val="9"/>
        </w:numPr>
        <w:shd w:val="clear" w:color="auto" w:fill="FFFFFF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3A7BC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3A7BC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3A7BC9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.   </w:t>
      </w:r>
    </w:p>
    <w:p w:rsidR="003A7BC9" w:rsidRPr="003A7BC9" w:rsidRDefault="003A7BC9" w:rsidP="003A7BC9">
      <w:pPr>
        <w:pageBreakBefore/>
        <w:spacing w:before="80" w:after="200" w:line="276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Протокола оказанных Услуг по Заявке </w:t>
      </w:r>
    </w:p>
    <w:p w:rsidR="003A7BC9" w:rsidRPr="003A7BC9" w:rsidRDefault="003A7BC9" w:rsidP="003A7BC9">
      <w:pPr>
        <w:spacing w:before="80" w:after="200" w:line="276" w:lineRule="auto"/>
        <w:ind w:left="-993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на доработку по Фиксированному перечню Услуг (в соответствии с п. 3.2.1 настоящего ТЗ)</w:t>
      </w:r>
    </w:p>
    <w:p w:rsidR="003A7BC9" w:rsidRPr="003A7BC9" w:rsidRDefault="003A7BC9" w:rsidP="003A7B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3A7BC9" w:rsidRPr="003A7BC9" w:rsidTr="00374440">
        <w:tc>
          <w:tcPr>
            <w:tcW w:w="358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оказанных Услуг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Услуг, руб.</w:t>
            </w: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3A7BC9" w:rsidRPr="003A7BC9" w:rsidTr="00374440">
        <w:trPr>
          <w:trHeight w:val="528"/>
        </w:trPr>
        <w:tc>
          <w:tcPr>
            <w:tcW w:w="358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4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4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340"/>
        </w:trPr>
        <w:tc>
          <w:tcPr>
            <w:tcW w:w="7225" w:type="dxa"/>
            <w:gridSpan w:val="4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A7BC9" w:rsidRPr="003A7BC9" w:rsidRDefault="003A7BC9" w:rsidP="003A7BC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:rsidR="003A7BC9" w:rsidRPr="003A7BC9" w:rsidRDefault="003A7BC9" w:rsidP="003A7BC9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pageBreakBefore/>
        <w:spacing w:before="80" w:after="200" w:line="276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Протокола оказанных Услуг на доработку 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3A7BC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сверх Фиксированного перечня Услуг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 (в соответствии с п. 3.2.2 настоящего ТЗ)</w:t>
      </w:r>
    </w:p>
    <w:p w:rsidR="003A7BC9" w:rsidRPr="003A7BC9" w:rsidRDefault="003A7BC9" w:rsidP="003A7BC9">
      <w:pPr>
        <w:widowControl w:val="0"/>
        <w:shd w:val="clear" w:color="auto" w:fill="FFFFFF"/>
        <w:autoSpaceDE w:val="0"/>
        <w:autoSpaceDN w:val="0"/>
        <w:spacing w:after="0" w:line="240" w:lineRule="auto"/>
        <w:ind w:left="-993"/>
        <w:jc w:val="both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ru-RU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3A7BC9" w:rsidRPr="003A7BC9" w:rsidTr="00374440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7BC9" w:rsidRPr="003A7BC9" w:rsidDel="009B57B8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оказанных Услуг,</w:t>
            </w:r>
          </w:p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чел./часа,</w:t>
            </w:r>
          </w:p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оказанных Услуг,</w:t>
            </w:r>
          </w:p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</w:tr>
      <w:tr w:rsidR="003A7BC9" w:rsidRPr="003A7BC9" w:rsidTr="00374440">
        <w:trPr>
          <w:trHeight w:val="330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200" w:line="276" w:lineRule="auto"/>
              <w:ind w:left="-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</w:t>
            </w:r>
          </w:p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C9" w:rsidRPr="003A7BC9" w:rsidRDefault="003A7BC9" w:rsidP="003A7BC9">
            <w:pPr>
              <w:spacing w:after="0" w:line="240" w:lineRule="atLeast"/>
              <w:ind w:left="-993" w:firstLine="99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3A7BC9" w:rsidRPr="003A7BC9" w:rsidRDefault="003A7BC9" w:rsidP="003A7BC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Услуги оказаны в соответствии с требованиями к Заявке в полном объеме и должном качестве. Претензии к оказанию Услуг не имеются. </w:t>
      </w:r>
    </w:p>
    <w:p w:rsidR="003A7BC9" w:rsidRPr="003A7BC9" w:rsidRDefault="003A7BC9" w:rsidP="003A7BC9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hd w:val="clear" w:color="auto" w:fill="FFFFFF"/>
        <w:spacing w:before="120" w:after="0" w:line="240" w:lineRule="auto"/>
        <w:ind w:left="426" w:hanging="360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3A7BC9" w:rsidRPr="003A7BC9" w:rsidRDefault="003A7BC9" w:rsidP="003A7BC9">
      <w:pPr>
        <w:pageBreakBefore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 1</w:t>
      </w:r>
    </w:p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к Заявке № _ от «__» _____ 2023 г.</w:t>
      </w:r>
    </w:p>
    <w:p w:rsidR="003A7BC9" w:rsidRPr="003A7BC9" w:rsidRDefault="003A7BC9" w:rsidP="003A7BC9">
      <w:pPr>
        <w:spacing w:after="0" w:line="276" w:lineRule="auto"/>
        <w:ind w:left="-851" w:firstLine="14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к Договору № _____ от «__» _____ 2023 г.</w:t>
      </w:r>
    </w:p>
    <w:p w:rsidR="003A7BC9" w:rsidRPr="003A7BC9" w:rsidRDefault="003A7BC9" w:rsidP="003A7BC9">
      <w:pPr>
        <w:spacing w:after="12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pacing w:after="12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sz w:val="20"/>
          <w:szCs w:val="20"/>
          <w:lang w:eastAsia="ru-RU"/>
        </w:rPr>
        <w:t>Состав Услуг</w:t>
      </w:r>
    </w:p>
    <w:p w:rsidR="003A7BC9" w:rsidRPr="003A7BC9" w:rsidRDefault="003A7BC9" w:rsidP="003A7BC9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Целью оказания Услуг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:rsidR="003A7BC9" w:rsidRPr="003A7BC9" w:rsidRDefault="003A7BC9" w:rsidP="003A7BC9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 xml:space="preserve">Функциональные требования на доработку существующей системы </w:t>
      </w:r>
      <w:r w:rsidRPr="003A7BC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3A7BC9" w:rsidRPr="003A7BC9" w:rsidTr="00374440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:rsidR="003A7BC9" w:rsidRPr="003A7BC9" w:rsidRDefault="003A7BC9" w:rsidP="003A7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Описание требования</w:t>
            </w:r>
          </w:p>
        </w:tc>
      </w:tr>
      <w:tr w:rsidR="003A7BC9" w:rsidRPr="003A7BC9" w:rsidTr="00374440">
        <w:tc>
          <w:tcPr>
            <w:tcW w:w="529" w:type="dxa"/>
            <w:vAlign w:val="center"/>
          </w:tcPr>
          <w:p w:rsidR="003A7BC9" w:rsidRPr="003A7BC9" w:rsidRDefault="003A7BC9" w:rsidP="003A7BC9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8" w:type="dxa"/>
          </w:tcPr>
          <w:p w:rsidR="003A7BC9" w:rsidRPr="003A7BC9" w:rsidRDefault="003A7BC9" w:rsidP="003A7BC9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3A7BC9" w:rsidRPr="003A7BC9" w:rsidRDefault="003A7BC9" w:rsidP="003A7BC9">
            <w:pPr>
              <w:spacing w:after="120" w:line="240" w:lineRule="auto"/>
              <w:ind w:left="36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c>
          <w:tcPr>
            <w:tcW w:w="529" w:type="dxa"/>
            <w:vAlign w:val="center"/>
          </w:tcPr>
          <w:p w:rsidR="003A7BC9" w:rsidRPr="003A7BC9" w:rsidRDefault="003A7BC9" w:rsidP="003A7BC9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8" w:type="dxa"/>
          </w:tcPr>
          <w:p w:rsidR="003A7BC9" w:rsidRPr="003A7BC9" w:rsidRDefault="003A7BC9" w:rsidP="003A7BC9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3A7BC9" w:rsidRPr="003A7BC9" w:rsidRDefault="003A7BC9" w:rsidP="003A7BC9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c>
          <w:tcPr>
            <w:tcW w:w="529" w:type="dxa"/>
            <w:vAlign w:val="center"/>
          </w:tcPr>
          <w:p w:rsidR="003A7BC9" w:rsidRPr="003A7BC9" w:rsidRDefault="003A7BC9" w:rsidP="003A7BC9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8" w:type="dxa"/>
          </w:tcPr>
          <w:p w:rsidR="003A7BC9" w:rsidRPr="003A7BC9" w:rsidRDefault="003A7BC9" w:rsidP="003A7BC9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3A7BC9" w:rsidRPr="003A7BC9" w:rsidRDefault="003A7BC9" w:rsidP="003A7BC9">
            <w:pPr>
              <w:spacing w:after="12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A7BC9" w:rsidRPr="003A7BC9" w:rsidRDefault="003A7BC9" w:rsidP="003A7BC9">
      <w:pPr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pageBreakBefore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 2</w:t>
      </w:r>
    </w:p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к Заявке № _ от «__» _______ 2023 г.</w:t>
      </w:r>
    </w:p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к Договору № _______ от  «__» ______ 2023 г.</w:t>
      </w:r>
    </w:p>
    <w:p w:rsidR="003A7BC9" w:rsidRPr="003A7BC9" w:rsidRDefault="003A7BC9" w:rsidP="003A7BC9">
      <w:pPr>
        <w:spacing w:after="12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pacing w:before="120"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оказанию Услуг</w:t>
      </w:r>
    </w:p>
    <w:p w:rsidR="003A7BC9" w:rsidRPr="003A7BC9" w:rsidRDefault="003A7BC9" w:rsidP="003A7BC9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Настоящий документ регламентирует требования к инфраструктуре и требования к оказанию Услуг.</w:t>
      </w:r>
    </w:p>
    <w:p w:rsidR="003A7BC9" w:rsidRPr="003A7BC9" w:rsidRDefault="003A7BC9" w:rsidP="003A7BC9">
      <w:pPr>
        <w:spacing w:before="120" w:after="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инфраструктуре</w:t>
      </w: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3A7BC9" w:rsidRPr="003A7BC9" w:rsidRDefault="003A7BC9" w:rsidP="003A7BC9">
      <w:pPr>
        <w:spacing w:before="120" w:after="0" w:line="276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оказанию Услуг:</w:t>
      </w:r>
    </w:p>
    <w:p w:rsidR="003A7BC9" w:rsidRPr="003A7BC9" w:rsidRDefault="003A7BC9" w:rsidP="003A7BC9">
      <w:pPr>
        <w:spacing w:before="60" w:after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устранению замечаний:</w:t>
      </w:r>
    </w:p>
    <w:p w:rsidR="003A7BC9" w:rsidRPr="003A7BC9" w:rsidRDefault="003A7BC9" w:rsidP="003A7BC9">
      <w:pPr>
        <w:spacing w:before="60" w:after="0"/>
        <w:ind w:left="360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tbl>
      <w:tblPr>
        <w:tblW w:w="13624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943"/>
        <w:gridCol w:w="584"/>
        <w:gridCol w:w="513"/>
        <w:gridCol w:w="1838"/>
        <w:gridCol w:w="2587"/>
        <w:gridCol w:w="433"/>
        <w:gridCol w:w="1263"/>
        <w:gridCol w:w="1473"/>
        <w:gridCol w:w="2765"/>
      </w:tblGrid>
      <w:tr w:rsidR="003A7BC9" w:rsidRPr="003A7BC9" w:rsidTr="00374440">
        <w:trPr>
          <w:trHeight w:val="300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BC9" w:rsidRPr="003A7BC9" w:rsidRDefault="003A7BC9" w:rsidP="003A7BC9">
            <w:pPr>
              <w:pageBreakBefore/>
              <w:spacing w:after="0" w:line="276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Заявке № _ от «__» _______ 2023 г.</w:t>
            </w: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Договору № _______ от  «__» ______ 2023 г.</w:t>
            </w: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Протокол передачи удалённых рабочих мест</w:t>
            </w: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3A7BC9" w:rsidRPr="003A7BC9" w:rsidTr="00374440">
        <w:trPr>
          <w:gridAfter w:val="1"/>
          <w:wAfter w:w="276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Версия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 предоставлено</w:t>
            </w:r>
          </w:p>
        </w:tc>
      </w:tr>
      <w:tr w:rsidR="003A7BC9" w:rsidRPr="003A7BC9" w:rsidTr="00374440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A7BC9" w:rsidRPr="003A7BC9" w:rsidRDefault="003A7BC9" w:rsidP="003A7B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1С:Энергобиллинг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C9" w:rsidRPr="003A7BC9" w:rsidRDefault="003A7BC9" w:rsidP="003A7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A7B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pageBreakBefore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 4</w:t>
      </w:r>
    </w:p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к Заявке № __ от «__» _______ 2023 г.</w:t>
      </w:r>
    </w:p>
    <w:p w:rsidR="003A7BC9" w:rsidRPr="003A7BC9" w:rsidRDefault="003A7BC9" w:rsidP="003A7BC9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к Договору № __________ от «__» ________2023 г.</w:t>
      </w:r>
    </w:p>
    <w:p w:rsidR="003A7BC9" w:rsidRPr="003A7BC9" w:rsidRDefault="003A7BC9" w:rsidP="003A7BC9">
      <w:pPr>
        <w:spacing w:after="12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pacing w:before="120"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b/>
          <w:sz w:val="20"/>
          <w:szCs w:val="20"/>
          <w:lang w:eastAsia="ru-RU"/>
        </w:rPr>
        <w:t>Результаты Услуг</w:t>
      </w:r>
    </w:p>
    <w:p w:rsidR="003A7BC9" w:rsidRPr="003A7BC9" w:rsidRDefault="003A7BC9" w:rsidP="003A7BC9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В результате оказания Услуг:</w:t>
      </w:r>
    </w:p>
    <w:p w:rsidR="003A7BC9" w:rsidRPr="003A7BC9" w:rsidRDefault="003A7BC9" w:rsidP="003A7BC9">
      <w:pPr>
        <w:numPr>
          <w:ilvl w:val="0"/>
          <w:numId w:val="13"/>
        </w:numPr>
        <w:spacing w:before="120" w:after="0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3A7BC9" w:rsidRPr="003A7BC9" w:rsidRDefault="003A7BC9" w:rsidP="003A7BC9">
      <w:pPr>
        <w:numPr>
          <w:ilvl w:val="0"/>
          <w:numId w:val="13"/>
        </w:numPr>
        <w:spacing w:before="120" w:after="0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3A7BC9" w:rsidRPr="003A7BC9" w:rsidRDefault="003A7BC9" w:rsidP="003A7BC9">
      <w:pPr>
        <w:numPr>
          <w:ilvl w:val="0"/>
          <w:numId w:val="13"/>
        </w:numPr>
        <w:spacing w:before="120" w:after="0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7BC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3A7BC9" w:rsidRPr="003A7BC9" w:rsidRDefault="003A7BC9" w:rsidP="003A7BC9">
      <w:pPr>
        <w:spacing w:before="120" w:after="0"/>
        <w:ind w:left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7BC9" w:rsidRPr="003A7BC9" w:rsidRDefault="003A7BC9" w:rsidP="003A7BC9">
      <w:pPr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0A91" w:rsidRPr="00A77C36" w:rsidRDefault="00810A91" w:rsidP="00810A91">
      <w:pPr>
        <w:jc w:val="center"/>
        <w:rPr>
          <w:rFonts w:ascii="Tahoma" w:hAnsi="Tahoma" w:cs="Tahoma"/>
          <w:lang w:val="en-US"/>
        </w:rPr>
      </w:pPr>
    </w:p>
    <w:p w:rsidR="00810A91" w:rsidRDefault="00810A91" w:rsidP="00810A91">
      <w:pPr>
        <w:jc w:val="center"/>
        <w:rPr>
          <w:rFonts w:ascii="Tahoma" w:hAnsi="Tahoma" w:cs="Tahoma"/>
        </w:rPr>
      </w:pPr>
    </w:p>
    <w:p w:rsidR="00810A91" w:rsidRDefault="00810A91" w:rsidP="00810A91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47D28" w:rsidRDefault="00147D28"/>
    <w:p w:rsidR="00810A91" w:rsidRDefault="00810A91"/>
    <w:sectPr w:rsidR="00810A91" w:rsidSect="0081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865" w:rsidRDefault="00304865" w:rsidP="00810A91">
      <w:pPr>
        <w:spacing w:after="0" w:line="240" w:lineRule="auto"/>
      </w:pPr>
      <w:r>
        <w:separator/>
      </w:r>
    </w:p>
  </w:endnote>
  <w:endnote w:type="continuationSeparator" w:id="0">
    <w:p w:rsidR="00304865" w:rsidRDefault="00304865" w:rsidP="00810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865" w:rsidRDefault="00304865" w:rsidP="00810A91">
      <w:pPr>
        <w:spacing w:after="0" w:line="240" w:lineRule="auto"/>
      </w:pPr>
      <w:r>
        <w:separator/>
      </w:r>
    </w:p>
  </w:footnote>
  <w:footnote w:type="continuationSeparator" w:id="0">
    <w:p w:rsidR="00304865" w:rsidRDefault="00304865" w:rsidP="00810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777896"/>
    <w:multiLevelType w:val="multilevel"/>
    <w:tmpl w:val="6362FAD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  <w:rPr>
        <w:rFonts w:cs="Times New Roman"/>
      </w:r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5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56D166D4"/>
    <w:multiLevelType w:val="hybridMultilevel"/>
    <w:tmpl w:val="5064760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6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7" w15:restartNumberingAfterBreak="0">
    <w:nsid w:val="60475F6D"/>
    <w:multiLevelType w:val="hybridMultilevel"/>
    <w:tmpl w:val="D8D8671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AA3947"/>
    <w:multiLevelType w:val="hybridMultilevel"/>
    <w:tmpl w:val="4AF2BE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5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0"/>
  </w:num>
  <w:num w:numId="2">
    <w:abstractNumId w:val="8"/>
  </w:num>
  <w:num w:numId="3">
    <w:abstractNumId w:val="0"/>
  </w:num>
  <w:num w:numId="4">
    <w:abstractNumId w:val="11"/>
  </w:num>
  <w:num w:numId="5">
    <w:abstractNumId w:val="3"/>
  </w:num>
  <w:num w:numId="6">
    <w:abstractNumId w:val="23"/>
  </w:num>
  <w:num w:numId="7">
    <w:abstractNumId w:val="22"/>
  </w:num>
  <w:num w:numId="8">
    <w:abstractNumId w:val="15"/>
  </w:num>
  <w:num w:numId="9">
    <w:abstractNumId w:val="9"/>
  </w:num>
  <w:num w:numId="10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cs="Times New Roman" w:hint="default"/>
        </w:rPr>
      </w:lvl>
    </w:lvlOverride>
  </w:num>
  <w:num w:numId="11">
    <w:abstractNumId w:val="5"/>
  </w:num>
  <w:num w:numId="12">
    <w:abstractNumId w:val="16"/>
  </w:num>
  <w:num w:numId="13">
    <w:abstractNumId w:val="2"/>
  </w:num>
  <w:num w:numId="14">
    <w:abstractNumId w:val="13"/>
  </w:num>
  <w:num w:numId="15">
    <w:abstractNumId w:val="4"/>
  </w:num>
  <w:num w:numId="16">
    <w:abstractNumId w:val="12"/>
  </w:num>
  <w:num w:numId="17">
    <w:abstractNumId w:val="7"/>
  </w:num>
  <w:num w:numId="18">
    <w:abstractNumId w:val="24"/>
  </w:num>
  <w:num w:numId="19">
    <w:abstractNumId w:val="18"/>
  </w:num>
  <w:num w:numId="20">
    <w:abstractNumId w:val="1"/>
  </w:num>
  <w:num w:numId="21">
    <w:abstractNumId w:val="6"/>
  </w:num>
  <w:num w:numId="22">
    <w:abstractNumId w:val="19"/>
  </w:num>
  <w:num w:numId="23">
    <w:abstractNumId w:val="14"/>
  </w:num>
  <w:num w:numId="24">
    <w:abstractNumId w:val="10"/>
  </w:num>
  <w:num w:numId="25">
    <w:abstractNumId w:val="2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A91"/>
    <w:rsid w:val="00147D28"/>
    <w:rsid w:val="00304865"/>
    <w:rsid w:val="003A7BC9"/>
    <w:rsid w:val="00810A91"/>
    <w:rsid w:val="00A7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7610E-E2F4-4B92-84D4-F010EFF4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"/>
    <w:basedOn w:val="a"/>
    <w:link w:val="a5"/>
    <w:uiPriority w:val="34"/>
    <w:qFormat/>
    <w:rsid w:val="00810A9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810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810A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10A91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3A7B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4"/>
    <w:uiPriority w:val="34"/>
    <w:locked/>
    <w:rsid w:val="003A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3554</Words>
  <Characters>20261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2</cp:revision>
  <dcterms:created xsi:type="dcterms:W3CDTF">2023-08-10T06:00:00Z</dcterms:created>
  <dcterms:modified xsi:type="dcterms:W3CDTF">2023-08-10T06:37:00Z</dcterms:modified>
</cp:coreProperties>
</file>